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5F943" w14:textId="0588C91B" w:rsidR="00316EF6" w:rsidRPr="00356223" w:rsidRDefault="00316EF6" w:rsidP="00356223">
      <w:pPr>
        <w:snapToGrid w:val="0"/>
        <w:spacing w:before="100" w:beforeAutospacing="1" w:after="100" w:afterAutospacing="1"/>
        <w:jc w:val="both"/>
        <w:rPr>
          <w:rFonts w:ascii="Times New Roman" w:eastAsia="標楷體" w:hAnsi="Times New Roman" w:cs="Times New Roman"/>
          <w:sz w:val="28"/>
        </w:rPr>
      </w:pPr>
      <w:r w:rsidRPr="00563707">
        <w:rPr>
          <w:rFonts w:ascii="Times New Roman" w:eastAsia="標楷體" w:hAnsi="Times New Roman" w:cs="Times New Roman"/>
          <w:b/>
          <w:sz w:val="32"/>
          <w:szCs w:val="28"/>
          <w:bdr w:val="single" w:sz="4" w:space="0" w:color="auto"/>
        </w:rPr>
        <w:t>附件</w:t>
      </w:r>
      <w:r w:rsidRPr="00563707">
        <w:rPr>
          <w:rFonts w:ascii="Times New Roman" w:eastAsia="標楷體" w:hAnsi="Times New Roman" w:cs="Times New Roman" w:hint="eastAsia"/>
          <w:b/>
          <w:sz w:val="32"/>
          <w:szCs w:val="28"/>
          <w:bdr w:val="single" w:sz="4" w:space="0" w:color="auto"/>
        </w:rPr>
        <w:t>2</w:t>
      </w:r>
    </w:p>
    <w:p w14:paraId="5C185D27" w14:textId="3F3E55A8" w:rsidR="00316EF6" w:rsidRPr="00563707" w:rsidRDefault="00316EF6" w:rsidP="00193F8A">
      <w:pPr>
        <w:snapToGrid w:val="0"/>
        <w:jc w:val="center"/>
        <w:rPr>
          <w:rFonts w:ascii="Times New Roman" w:eastAsia="標楷體" w:hAnsi="Times New Roman" w:cs="Times New Roman"/>
          <w:b/>
          <w:sz w:val="36"/>
        </w:rPr>
      </w:pPr>
      <w:r w:rsidRPr="00563707">
        <w:rPr>
          <w:rFonts w:ascii="Times New Roman" w:eastAsia="標楷體" w:hAnsi="Times New Roman" w:cs="Times New Roman" w:hint="eastAsia"/>
          <w:b/>
          <w:sz w:val="36"/>
        </w:rPr>
        <w:t>檢測費用補助之適用標準</w:t>
      </w:r>
    </w:p>
    <w:tbl>
      <w:tblPr>
        <w:tblStyle w:val="aa"/>
        <w:tblW w:w="8789" w:type="dxa"/>
        <w:tblInd w:w="-5" w:type="dxa"/>
        <w:tblLook w:val="04A0" w:firstRow="1" w:lastRow="0" w:firstColumn="1" w:lastColumn="0" w:noHBand="0" w:noVBand="1"/>
      </w:tblPr>
      <w:tblGrid>
        <w:gridCol w:w="851"/>
        <w:gridCol w:w="5103"/>
        <w:gridCol w:w="2835"/>
      </w:tblGrid>
      <w:tr w:rsidR="00316EF6" w:rsidRPr="00563707" w14:paraId="4B779B2B" w14:textId="77777777" w:rsidTr="00CB0E00">
        <w:trPr>
          <w:trHeight w:val="549"/>
        </w:trPr>
        <w:tc>
          <w:tcPr>
            <w:tcW w:w="851" w:type="dxa"/>
            <w:vAlign w:val="center"/>
          </w:tcPr>
          <w:p w14:paraId="153AE06A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項次</w:t>
            </w:r>
          </w:p>
        </w:tc>
        <w:tc>
          <w:tcPr>
            <w:tcW w:w="5103" w:type="dxa"/>
            <w:vAlign w:val="center"/>
          </w:tcPr>
          <w:p w14:paraId="0EBFF0E4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適用檢測標準</w:t>
            </w:r>
          </w:p>
        </w:tc>
        <w:tc>
          <w:tcPr>
            <w:tcW w:w="2835" w:type="dxa"/>
            <w:vAlign w:val="center"/>
          </w:tcPr>
          <w:p w14:paraId="74891F03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檢測產品</w:t>
            </w:r>
            <w:proofErr w:type="gramStart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品</w:t>
            </w:r>
            <w:proofErr w:type="gramEnd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項</w:t>
            </w:r>
          </w:p>
        </w:tc>
      </w:tr>
      <w:tr w:rsidR="00316EF6" w:rsidRPr="00563707" w14:paraId="02241390" w14:textId="77777777" w:rsidTr="00CB0E00">
        <w:tc>
          <w:tcPr>
            <w:tcW w:w="851" w:type="dxa"/>
            <w:vAlign w:val="center"/>
          </w:tcPr>
          <w:p w14:paraId="46889BCF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01CE3037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CNS 60494/ IEC 60494-1/ IEC 60494-2/ EN 50206-1/ EN 50206-1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鐵路車輛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proofErr w:type="gramStart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集電弓</w:t>
            </w:r>
            <w:proofErr w:type="gramEnd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特性和試驗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正線、捷運及輕軌車輛之</w:t>
            </w:r>
            <w:proofErr w:type="gramStart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集電弓</w:t>
            </w:r>
            <w:proofErr w:type="gramEnd"/>
          </w:p>
        </w:tc>
        <w:tc>
          <w:tcPr>
            <w:tcW w:w="2835" w:type="dxa"/>
            <w:vAlign w:val="center"/>
          </w:tcPr>
          <w:p w14:paraId="5E1C638D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集電弓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系統</w:t>
            </w:r>
          </w:p>
        </w:tc>
      </w:tr>
      <w:tr w:rsidR="00316EF6" w:rsidRPr="00563707" w14:paraId="2AE01240" w14:textId="77777777" w:rsidTr="00CB0E00">
        <w:tc>
          <w:tcPr>
            <w:tcW w:w="851" w:type="dxa"/>
            <w:vAlign w:val="center"/>
          </w:tcPr>
          <w:p w14:paraId="3D0F1EAE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0818C8DE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313" w:hanging="313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CNS 16150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EN 14752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鐵路車輛車體側入口系統</w:t>
            </w:r>
          </w:p>
        </w:tc>
        <w:tc>
          <w:tcPr>
            <w:tcW w:w="2835" w:type="dxa"/>
            <w:vAlign w:val="center"/>
          </w:tcPr>
          <w:p w14:paraId="39DE93FD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車門系統</w:t>
            </w:r>
          </w:p>
        </w:tc>
      </w:tr>
      <w:tr w:rsidR="00316EF6" w:rsidRPr="00563707" w14:paraId="17FAA51A" w14:textId="77777777" w:rsidTr="00CB0E00">
        <w:tc>
          <w:tcPr>
            <w:tcW w:w="851" w:type="dxa"/>
            <w:vAlign w:val="center"/>
          </w:tcPr>
          <w:p w14:paraId="7128E3B5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14:paraId="48B49B60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313" w:hanging="313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CNS 16134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IEC 60571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EN 50155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鐵路車輛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電子設備</w:t>
            </w:r>
          </w:p>
          <w:p w14:paraId="53B99F32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313" w:hanging="313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CNS 61373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IEC 61373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 xml:space="preserve">EN 61373 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鐵路車輛設備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衝擊及振動試驗</w:t>
            </w:r>
          </w:p>
          <w:p w14:paraId="131D1B88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313" w:hanging="313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CNS 14165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IEC 60529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EN 60529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電氣外殼保護分類等級</w:t>
            </w:r>
          </w:p>
          <w:p w14:paraId="5EB5E621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313" w:hanging="313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CNS 62498-1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IEC 62498-1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EN 50125-1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設備之環境條件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第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1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部：鐵路車輛及車載設備</w:t>
            </w:r>
          </w:p>
          <w:p w14:paraId="034A62E6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313" w:hanging="313"/>
              <w:jc w:val="both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CNS 62236-3-2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IEC 62236-3-2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EN 50121-3-2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電磁相容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第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3-2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部：鐵路車輛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裝置</w:t>
            </w:r>
          </w:p>
        </w:tc>
        <w:tc>
          <w:tcPr>
            <w:tcW w:w="2835" w:type="dxa"/>
            <w:vAlign w:val="center"/>
          </w:tcPr>
          <w:p w14:paraId="57C0BC0A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用於鐵道車輛之設備，包含但不限於空調系統、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不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斷電系統、閉路監視系統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(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含電子後視鏡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)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、列車控制系統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(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含行車紀錄裝置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)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、旅客資訊系統、牽引馬達系統、照明設備、網路交換器、車載天線其他用於鐵路車輛之設備等</w:t>
            </w:r>
          </w:p>
        </w:tc>
      </w:tr>
      <w:tr w:rsidR="00316EF6" w:rsidRPr="00563707" w14:paraId="5C0CF9C6" w14:textId="77777777" w:rsidTr="00CB0E00">
        <w:trPr>
          <w:trHeight w:val="86"/>
        </w:trPr>
        <w:tc>
          <w:tcPr>
            <w:tcW w:w="851" w:type="dxa"/>
            <w:vAlign w:val="center"/>
          </w:tcPr>
          <w:p w14:paraId="059C9C48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14:paraId="642434B8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CNS 16149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EN 13749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車輪組及轉向架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proofErr w:type="gramStart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轉向架框結構</w:t>
            </w:r>
            <w:proofErr w:type="gramEnd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之要求</w:t>
            </w:r>
          </w:p>
          <w:p w14:paraId="5C076A62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UIC 615-4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動力裝置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轉向架</w:t>
            </w:r>
            <w:proofErr w:type="gramStart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及走行裝置</w:t>
            </w:r>
            <w:proofErr w:type="gramEnd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轉向架構架結構強度試驗</w:t>
            </w:r>
          </w:p>
        </w:tc>
        <w:tc>
          <w:tcPr>
            <w:tcW w:w="2835" w:type="dxa"/>
            <w:vAlign w:val="center"/>
          </w:tcPr>
          <w:p w14:paraId="23890EE4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Cs w:val="24"/>
              </w:rPr>
            </w:pP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轉向架框</w:t>
            </w:r>
            <w:proofErr w:type="gramEnd"/>
          </w:p>
        </w:tc>
      </w:tr>
      <w:tr w:rsidR="00316EF6" w:rsidRPr="00563707" w14:paraId="07C4047A" w14:textId="77777777" w:rsidTr="00CB0E00">
        <w:tc>
          <w:tcPr>
            <w:tcW w:w="851" w:type="dxa"/>
            <w:vAlign w:val="center"/>
          </w:tcPr>
          <w:p w14:paraId="78D6FC90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14:paraId="6AA42622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CNS 3623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IEC 60068-2-78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EN 60068-2-78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環境試驗法（電氣、電子）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lastRenderedPageBreak/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濕熱（穩態）試驗</w:t>
            </w:r>
          </w:p>
          <w:p w14:paraId="3657D014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CNS 3633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IEC 60068-2-14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EN 60068-2-14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環境試驗法（電氣、電子）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溫度變化試驗</w:t>
            </w:r>
          </w:p>
          <w:p w14:paraId="61D64E0E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CNS 3634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IEC 60068-2-2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EN 60068-2-2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環境試驗方法（電氣、電子）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高溫（耐熱性）試驗方法</w:t>
            </w:r>
          </w:p>
          <w:p w14:paraId="757D512A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CNS 11233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IEC 60068-2-1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EN 60068-2-1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環境試驗法（電氣、電子）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低溫（耐寒性）試驗法</w:t>
            </w:r>
          </w:p>
          <w:p w14:paraId="639FAF8B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CNS 14165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IEC 60529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EN 60529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電氣外殼保護分類等級</w:t>
            </w:r>
          </w:p>
          <w:p w14:paraId="001E47EF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CNS 62236-4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 xml:space="preserve">EN 50121-4 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鐵路應用－電磁相容－第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4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部：號</w:t>
            </w:r>
            <w:proofErr w:type="gramStart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誌</w:t>
            </w:r>
            <w:proofErr w:type="gramEnd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與電信裝置之放射與</w:t>
            </w:r>
            <w:proofErr w:type="gramStart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抗擾度</w:t>
            </w:r>
            <w:proofErr w:type="gramEnd"/>
          </w:p>
          <w:p w14:paraId="24BA4689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 xml:space="preserve">CNS 62236-5 / IEC 62236-5 / EN 50121-5 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鐵路應用－電磁相容－第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5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部：固定式電源供應設施與裝置之放射與</w:t>
            </w:r>
            <w:proofErr w:type="gramStart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抗擾度</w:t>
            </w:r>
            <w:proofErr w:type="gramEnd"/>
          </w:p>
        </w:tc>
        <w:tc>
          <w:tcPr>
            <w:tcW w:w="2835" w:type="dxa"/>
          </w:tcPr>
          <w:p w14:paraId="1930BDC8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lastRenderedPageBreak/>
              <w:t>用於鐵道號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誌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及通訊之設備，包含但不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lastRenderedPageBreak/>
              <w:t>限於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計軸器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、轉轍器、地上感應子、道旁號誌燈、平交道障礙物偵測設備、網路交換器、可程式邏輯控制器、道旁通訊天線等</w:t>
            </w:r>
          </w:p>
          <w:p w14:paraId="7DED5282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用於固定式供電系統之設備，包含但不限於牽引變電站設備、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SCADA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系統等</w:t>
            </w:r>
          </w:p>
          <w:p w14:paraId="14832F8E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51" w:hanging="251"/>
              <w:jc w:val="both"/>
              <w:rPr>
                <w:rFonts w:ascii="Times New Roman" w:eastAsia="標楷體" w:hAnsi="Times New Roman" w:cs="Times New Roman"/>
                <w:bCs/>
                <w:spacing w:val="-2"/>
                <w:kern w:val="0"/>
                <w:szCs w:val="24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用於軌道系統之設備，包含但不限於鐵路邊坡防護監測告警偵測設備等</w:t>
            </w:r>
          </w:p>
        </w:tc>
      </w:tr>
      <w:tr w:rsidR="00316EF6" w:rsidRPr="00563707" w14:paraId="73EF45CA" w14:textId="77777777" w:rsidTr="00CB0E00">
        <w:tc>
          <w:tcPr>
            <w:tcW w:w="851" w:type="dxa"/>
            <w:vAlign w:val="center"/>
          </w:tcPr>
          <w:p w14:paraId="05EC5E0B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14:paraId="57E0756E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C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NS 15588-2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IEC 60349-2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EN 60349-2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電力牽引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軌道及道路車輛用之旋轉電機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第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2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部：電子</w:t>
            </w:r>
            <w:proofErr w:type="gramStart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換流器</w:t>
            </w:r>
            <w:proofErr w:type="gramEnd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供電型交流電動機</w:t>
            </w:r>
          </w:p>
          <w:p w14:paraId="5905E7F5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CNS 61377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IEC 61377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鐵路車輛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牽引系統綜合試驗法</w:t>
            </w:r>
          </w:p>
        </w:tc>
        <w:tc>
          <w:tcPr>
            <w:tcW w:w="2835" w:type="dxa"/>
            <w:vAlign w:val="center"/>
          </w:tcPr>
          <w:p w14:paraId="52A08A87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牽引馬達系統</w:t>
            </w:r>
          </w:p>
        </w:tc>
      </w:tr>
      <w:tr w:rsidR="00316EF6" w:rsidRPr="00563707" w14:paraId="1842DF87" w14:textId="77777777" w:rsidTr="00CB0E00">
        <w:tc>
          <w:tcPr>
            <w:tcW w:w="851" w:type="dxa"/>
            <w:vAlign w:val="center"/>
          </w:tcPr>
          <w:p w14:paraId="3D55540A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14:paraId="0D85CEA4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EN 50617-2 Annex C.4.4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用於歐洲跨國鐵路系統互通性之列車偵測系統的技術參數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第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2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部分：</w:t>
            </w:r>
            <w:proofErr w:type="gramStart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計軸器</w:t>
            </w:r>
            <w:proofErr w:type="gramEnd"/>
          </w:p>
        </w:tc>
        <w:tc>
          <w:tcPr>
            <w:tcW w:w="2835" w:type="dxa"/>
            <w:vAlign w:val="center"/>
          </w:tcPr>
          <w:p w14:paraId="6155163C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proofErr w:type="gramStart"/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計軸器</w:t>
            </w:r>
            <w:proofErr w:type="gramEnd"/>
          </w:p>
        </w:tc>
      </w:tr>
      <w:tr w:rsidR="00316EF6" w:rsidRPr="00563707" w14:paraId="54A3F0A2" w14:textId="77777777" w:rsidTr="00CB0E00">
        <w:tc>
          <w:tcPr>
            <w:tcW w:w="851" w:type="dxa"/>
            <w:vAlign w:val="center"/>
          </w:tcPr>
          <w:p w14:paraId="58860ED1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14:paraId="29F33A6C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CNS 16133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EN 13232-4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軌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lastRenderedPageBreak/>
              <w:t>道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尖軌及岔心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第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4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部：致動、鎖定及轍查</w:t>
            </w:r>
          </w:p>
          <w:p w14:paraId="73151A8C" w14:textId="401CF92A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疲勞試驗自訂方法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(LAB-3-23</w:t>
            </w:r>
            <w:r w:rsidR="0010515E" w:rsidRPr="00563707">
              <w:rPr>
                <w:rFonts w:ascii="Times New Roman" w:eastAsia="標楷體" w:hAnsi="Times New Roman" w:cs="Times New Roman" w:hint="eastAsia"/>
                <w:bCs/>
                <w:spacing w:val="-2"/>
                <w:kern w:val="0"/>
                <w:sz w:val="28"/>
                <w:szCs w:val="28"/>
              </w:rPr>
              <w:t>)-</w:t>
            </w:r>
            <w:r w:rsidR="0010515E" w:rsidRPr="00563707">
              <w:rPr>
                <w:rFonts w:ascii="Times New Roman" w:eastAsia="標楷體" w:hAnsi="Times New Roman" w:cs="Times New Roman" w:hint="eastAsia"/>
                <w:bCs/>
                <w:spacing w:val="-2"/>
                <w:kern w:val="0"/>
                <w:sz w:val="28"/>
                <w:szCs w:val="28"/>
              </w:rPr>
              <w:t>非標準方法是否將編號寫上去</w:t>
            </w:r>
          </w:p>
        </w:tc>
        <w:tc>
          <w:tcPr>
            <w:tcW w:w="2835" w:type="dxa"/>
            <w:vAlign w:val="center"/>
          </w:tcPr>
          <w:p w14:paraId="0BA85A7C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lastRenderedPageBreak/>
              <w:t>轉轍器</w:t>
            </w:r>
          </w:p>
        </w:tc>
      </w:tr>
      <w:tr w:rsidR="00316EF6" w:rsidRPr="00563707" w14:paraId="1B0A07BA" w14:textId="77777777" w:rsidTr="00CB0E00">
        <w:tc>
          <w:tcPr>
            <w:tcW w:w="851" w:type="dxa"/>
            <w:vAlign w:val="center"/>
          </w:tcPr>
          <w:p w14:paraId="3053496C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14:paraId="06349485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CNS 16175-1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EN 13146-1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軌道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扣件系統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之試驗法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第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1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部：鋼軌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縱向束制之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測定</w:t>
            </w:r>
          </w:p>
          <w:p w14:paraId="2A327574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CNS 16175-2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EN 13146-2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軌道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扣件系統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之試驗法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第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2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部：抗扭力之測定</w:t>
            </w:r>
          </w:p>
          <w:p w14:paraId="6CD0B363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CNS 16175-3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EN 13146-3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軌道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扣件系統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之試驗法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第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3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部：衝擊負載衰減之測定</w:t>
            </w:r>
          </w:p>
          <w:p w14:paraId="1D7ECB69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CNS 16175-4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EN 13146-4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軌道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扣件系統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之試驗法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第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4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部：重複負載之效應</w:t>
            </w:r>
          </w:p>
          <w:p w14:paraId="244E4B18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CNS 16175-7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EN 13146-7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軌道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扣件系統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之試驗法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第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7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部：扣壓力與上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舉勁度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之測定</w:t>
            </w:r>
          </w:p>
          <w:p w14:paraId="6AA3AA4A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CNS 16175-9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EN 13146-9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軌道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扣件系統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之試驗法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第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9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部：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勁度之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測定</w:t>
            </w:r>
          </w:p>
          <w:p w14:paraId="23C8B92B" w14:textId="77777777" w:rsidR="00316EF6" w:rsidRPr="00563707" w:rsidRDefault="00316EF6" w:rsidP="007C7697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ind w:leftChars="0" w:left="290" w:hanging="283"/>
              <w:jc w:val="both"/>
              <w:textAlignment w:val="center"/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CNS 16175-10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／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EN 13146-10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鐵路應用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軌道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扣件系統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之試驗法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-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第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10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部：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抗拉保證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負載試驗</w:t>
            </w:r>
          </w:p>
        </w:tc>
        <w:tc>
          <w:tcPr>
            <w:tcW w:w="2835" w:type="dxa"/>
            <w:vAlign w:val="center"/>
          </w:tcPr>
          <w:p w14:paraId="667469C1" w14:textId="77777777" w:rsidR="00316EF6" w:rsidRPr="00563707" w:rsidRDefault="00316EF6" w:rsidP="00CD71DF">
            <w:pPr>
              <w:adjustRightInd w:val="0"/>
              <w:snapToGrid w:val="0"/>
              <w:spacing w:line="460" w:lineRule="exact"/>
              <w:jc w:val="both"/>
              <w:rPr>
                <w:rFonts w:ascii="Times New Roman" w:eastAsia="標楷體" w:hAnsi="Times New Roman" w:cs="Times New Roman"/>
                <w:bCs/>
                <w:spacing w:val="-2"/>
                <w:kern w:val="0"/>
                <w:szCs w:val="24"/>
              </w:rPr>
            </w:pP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無道碴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(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版式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)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軌道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用扣件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(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基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鈑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)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系統、道碴軌道混凝土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軌枕扣件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(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基</w:t>
            </w:r>
            <w:proofErr w:type="gramStart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鈑</w:t>
            </w:r>
            <w:proofErr w:type="gramEnd"/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)</w:t>
            </w:r>
            <w:r w:rsidRPr="00563707">
              <w:rPr>
                <w:rFonts w:ascii="Times New Roman" w:eastAsia="標楷體" w:hAnsi="Times New Roman" w:cs="Times New Roman"/>
                <w:bCs/>
                <w:spacing w:val="-2"/>
                <w:kern w:val="0"/>
                <w:sz w:val="28"/>
                <w:szCs w:val="28"/>
              </w:rPr>
              <w:t>系統</w:t>
            </w:r>
          </w:p>
        </w:tc>
      </w:tr>
      <w:tr w:rsidR="00316EF6" w:rsidRPr="008F3B78" w14:paraId="5CBF0077" w14:textId="77777777" w:rsidTr="00CB0E00">
        <w:trPr>
          <w:trHeight w:val="447"/>
        </w:trPr>
        <w:tc>
          <w:tcPr>
            <w:tcW w:w="8789" w:type="dxa"/>
            <w:gridSpan w:val="3"/>
            <w:vAlign w:val="center"/>
          </w:tcPr>
          <w:p w14:paraId="6AD732A6" w14:textId="03029A43" w:rsidR="00316EF6" w:rsidRPr="008F3B78" w:rsidRDefault="00316EF6" w:rsidP="00CD71DF">
            <w:pPr>
              <w:adjustRightInd w:val="0"/>
              <w:snapToGrid w:val="0"/>
              <w:spacing w:line="460" w:lineRule="exact"/>
              <w:ind w:leftChars="1" w:left="800" w:hangingChars="338" w:hanging="798"/>
              <w:jc w:val="both"/>
              <w:rPr>
                <w:rFonts w:ascii="Times New Roman" w:eastAsia="標楷體" w:hAnsi="Times New Roman" w:cs="Times New Roman"/>
                <w:bCs/>
                <w:spacing w:val="-2"/>
                <w:kern w:val="0"/>
                <w:szCs w:val="24"/>
              </w:rPr>
            </w:pP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Cs w:val="24"/>
              </w:rPr>
              <w:t>備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註：本表更新至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115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年</w:t>
            </w:r>
            <w:r w:rsidR="00BB6F62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5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月</w:t>
            </w:r>
            <w:r w:rsidR="00BB6F62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29</w:t>
            </w:r>
            <w:r w:rsidRPr="00563707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日止，若有異動將另行公告及更新。</w:t>
            </w:r>
          </w:p>
        </w:tc>
      </w:tr>
    </w:tbl>
    <w:p w14:paraId="67C1EA00" w14:textId="77777777" w:rsidR="00316EF6" w:rsidRPr="00C6293F" w:rsidRDefault="00316EF6" w:rsidP="00C6293F">
      <w:pPr>
        <w:snapToGrid w:val="0"/>
        <w:spacing w:before="100" w:beforeAutospacing="1" w:after="100" w:afterAutospacing="1"/>
        <w:jc w:val="both"/>
        <w:rPr>
          <w:rFonts w:ascii="Times New Roman" w:eastAsia="標楷體" w:hAnsi="Times New Roman" w:cs="Times New Roman"/>
          <w:sz w:val="28"/>
          <w:szCs w:val="28"/>
        </w:rPr>
      </w:pPr>
    </w:p>
    <w:sectPr w:rsidR="00316EF6" w:rsidRPr="00C6293F" w:rsidSect="00A26A1A">
      <w:footerReference w:type="default" r:id="rId8"/>
      <w:pgSz w:w="11906" w:h="16838"/>
      <w:pgMar w:top="1560" w:right="1418" w:bottom="1702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7534F" w14:textId="77777777" w:rsidR="00791A86" w:rsidRDefault="00791A86" w:rsidP="00B64044">
      <w:r>
        <w:separator/>
      </w:r>
    </w:p>
  </w:endnote>
  <w:endnote w:type="continuationSeparator" w:id="0">
    <w:p w14:paraId="103DCB7E" w14:textId="77777777" w:rsidR="00791A86" w:rsidRDefault="00791A86" w:rsidP="00B6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5462407"/>
      <w:docPartObj>
        <w:docPartGallery w:val="Page Numbers (Bottom of Page)"/>
        <w:docPartUnique/>
      </w:docPartObj>
    </w:sdtPr>
    <w:sdtEndPr/>
    <w:sdtContent>
      <w:p w14:paraId="1DEB02B6" w14:textId="77777777" w:rsidR="001A6E7B" w:rsidRDefault="001A6E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BD3B29E" w14:textId="77777777" w:rsidR="001A6E7B" w:rsidRDefault="001A6E7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99ABE" w14:textId="77777777" w:rsidR="00791A86" w:rsidRDefault="00791A86" w:rsidP="00B64044">
      <w:r>
        <w:separator/>
      </w:r>
    </w:p>
  </w:footnote>
  <w:footnote w:type="continuationSeparator" w:id="0">
    <w:p w14:paraId="79C07C78" w14:textId="77777777" w:rsidR="00791A86" w:rsidRDefault="00791A86" w:rsidP="00B64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E5A35"/>
    <w:multiLevelType w:val="hybridMultilevel"/>
    <w:tmpl w:val="B3A6586C"/>
    <w:lvl w:ilvl="0" w:tplc="1330875E">
      <w:start w:val="1"/>
      <w:numFmt w:val="taiwaneseCountingThousand"/>
      <w:lvlText w:val="（%1）"/>
      <w:lvlJc w:val="left"/>
      <w:pPr>
        <w:ind w:left="1622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2" w:hanging="480"/>
      </w:pPr>
    </w:lvl>
    <w:lvl w:ilvl="2" w:tplc="0409001B" w:tentative="1">
      <w:start w:val="1"/>
      <w:numFmt w:val="lowerRoman"/>
      <w:lvlText w:val="%3."/>
      <w:lvlJc w:val="right"/>
      <w:pPr>
        <w:ind w:left="2222" w:hanging="480"/>
      </w:pPr>
    </w:lvl>
    <w:lvl w:ilvl="3" w:tplc="0409000F" w:tentative="1">
      <w:start w:val="1"/>
      <w:numFmt w:val="decimal"/>
      <w:lvlText w:val="%4."/>
      <w:lvlJc w:val="left"/>
      <w:pPr>
        <w:ind w:left="27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2" w:hanging="480"/>
      </w:pPr>
    </w:lvl>
    <w:lvl w:ilvl="5" w:tplc="0409001B" w:tentative="1">
      <w:start w:val="1"/>
      <w:numFmt w:val="lowerRoman"/>
      <w:lvlText w:val="%6."/>
      <w:lvlJc w:val="right"/>
      <w:pPr>
        <w:ind w:left="3662" w:hanging="480"/>
      </w:pPr>
    </w:lvl>
    <w:lvl w:ilvl="6" w:tplc="0409000F" w:tentative="1">
      <w:start w:val="1"/>
      <w:numFmt w:val="decimal"/>
      <w:lvlText w:val="%7."/>
      <w:lvlJc w:val="left"/>
      <w:pPr>
        <w:ind w:left="41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2" w:hanging="480"/>
      </w:pPr>
    </w:lvl>
    <w:lvl w:ilvl="8" w:tplc="0409001B" w:tentative="1">
      <w:start w:val="1"/>
      <w:numFmt w:val="lowerRoman"/>
      <w:lvlText w:val="%9."/>
      <w:lvlJc w:val="right"/>
      <w:pPr>
        <w:ind w:left="5102" w:hanging="480"/>
      </w:pPr>
    </w:lvl>
  </w:abstractNum>
  <w:abstractNum w:abstractNumId="1" w15:restartNumberingAfterBreak="0">
    <w:nsid w:val="1F6F1846"/>
    <w:multiLevelType w:val="hybridMultilevel"/>
    <w:tmpl w:val="E62252C6"/>
    <w:lvl w:ilvl="0" w:tplc="2146E25A">
      <w:start w:val="1"/>
      <w:numFmt w:val="taiwaneseCountingThousand"/>
      <w:lvlText w:val="%1、"/>
      <w:lvlJc w:val="left"/>
      <w:pPr>
        <w:ind w:left="3229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3709" w:hanging="480"/>
      </w:pPr>
    </w:lvl>
    <w:lvl w:ilvl="2" w:tplc="0409001B" w:tentative="1">
      <w:start w:val="1"/>
      <w:numFmt w:val="lowerRoman"/>
      <w:lvlText w:val="%3."/>
      <w:lvlJc w:val="right"/>
      <w:pPr>
        <w:ind w:left="4189" w:hanging="480"/>
      </w:pPr>
    </w:lvl>
    <w:lvl w:ilvl="3" w:tplc="0409000F" w:tentative="1">
      <w:start w:val="1"/>
      <w:numFmt w:val="decimal"/>
      <w:lvlText w:val="%4."/>
      <w:lvlJc w:val="left"/>
      <w:pPr>
        <w:ind w:left="46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49" w:hanging="480"/>
      </w:pPr>
    </w:lvl>
    <w:lvl w:ilvl="5" w:tplc="0409001B" w:tentative="1">
      <w:start w:val="1"/>
      <w:numFmt w:val="lowerRoman"/>
      <w:lvlText w:val="%6."/>
      <w:lvlJc w:val="right"/>
      <w:pPr>
        <w:ind w:left="5629" w:hanging="480"/>
      </w:pPr>
    </w:lvl>
    <w:lvl w:ilvl="6" w:tplc="0409000F" w:tentative="1">
      <w:start w:val="1"/>
      <w:numFmt w:val="decimal"/>
      <w:lvlText w:val="%7."/>
      <w:lvlJc w:val="left"/>
      <w:pPr>
        <w:ind w:left="61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89" w:hanging="480"/>
      </w:pPr>
    </w:lvl>
    <w:lvl w:ilvl="8" w:tplc="0409001B" w:tentative="1">
      <w:start w:val="1"/>
      <w:numFmt w:val="lowerRoman"/>
      <w:lvlText w:val="%9."/>
      <w:lvlJc w:val="right"/>
      <w:pPr>
        <w:ind w:left="7069" w:hanging="480"/>
      </w:pPr>
    </w:lvl>
  </w:abstractNum>
  <w:abstractNum w:abstractNumId="2" w15:restartNumberingAfterBreak="0">
    <w:nsid w:val="28DD7241"/>
    <w:multiLevelType w:val="hybridMultilevel"/>
    <w:tmpl w:val="93A0EF86"/>
    <w:lvl w:ilvl="0" w:tplc="3F9CD428">
      <w:start w:val="1"/>
      <w:numFmt w:val="taiwaneseCountingThousand"/>
      <w:lvlText w:val="(%1)"/>
      <w:lvlJc w:val="left"/>
      <w:pPr>
        <w:ind w:left="738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3" w15:restartNumberingAfterBreak="0">
    <w:nsid w:val="32CB4487"/>
    <w:multiLevelType w:val="hybridMultilevel"/>
    <w:tmpl w:val="81D68BC2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FEC2F63"/>
    <w:multiLevelType w:val="hybridMultilevel"/>
    <w:tmpl w:val="4C329880"/>
    <w:lvl w:ilvl="0" w:tplc="A1F6CECA">
      <w:start w:val="1"/>
      <w:numFmt w:val="ideographLegalTraditional"/>
      <w:lvlText w:val="%1、"/>
      <w:lvlJc w:val="left"/>
      <w:pPr>
        <w:ind w:left="1212" w:hanging="360"/>
      </w:pPr>
      <w:rPr>
        <w:rFonts w:hint="default"/>
        <w:b/>
        <w:bCs/>
        <w:strike w:val="0"/>
        <w:color w:val="auto"/>
        <w:sz w:val="32"/>
        <w:lang w:val="en-US"/>
      </w:rPr>
    </w:lvl>
    <w:lvl w:ilvl="1" w:tplc="2146E25A">
      <w:start w:val="1"/>
      <w:numFmt w:val="taiwaneseCountingThousand"/>
      <w:lvlText w:val="%2、"/>
      <w:lvlJc w:val="left"/>
      <w:pPr>
        <w:ind w:left="1572" w:hanging="720"/>
      </w:pPr>
      <w:rPr>
        <w:rFonts w:hint="default"/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8845EDE"/>
    <w:multiLevelType w:val="hybridMultilevel"/>
    <w:tmpl w:val="05225E30"/>
    <w:lvl w:ilvl="0" w:tplc="EA80F1D4">
      <w:start w:val="1"/>
      <w:numFmt w:val="taiwaneseCountingThousand"/>
      <w:lvlText w:val="%1、"/>
      <w:lvlJc w:val="left"/>
      <w:pPr>
        <w:ind w:left="2749" w:hanging="480"/>
      </w:pPr>
      <w:rPr>
        <w:rFonts w:hint="default"/>
        <w:lang w:val="en-US"/>
      </w:rPr>
    </w:lvl>
    <w:lvl w:ilvl="1" w:tplc="2146E25A">
      <w:start w:val="1"/>
      <w:numFmt w:val="taiwaneseCountingThousand"/>
      <w:lvlText w:val="%2、"/>
      <w:lvlJc w:val="left"/>
      <w:pPr>
        <w:ind w:left="3229" w:hanging="480"/>
      </w:pPr>
      <w:rPr>
        <w:rFonts w:hint="default"/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6" w15:restartNumberingAfterBreak="0">
    <w:nsid w:val="7CF93561"/>
    <w:multiLevelType w:val="hybridMultilevel"/>
    <w:tmpl w:val="05225E30"/>
    <w:lvl w:ilvl="0" w:tplc="EA80F1D4">
      <w:start w:val="1"/>
      <w:numFmt w:val="taiwaneseCountingThousand"/>
      <w:lvlText w:val="%1、"/>
      <w:lvlJc w:val="left"/>
      <w:pPr>
        <w:ind w:left="2749" w:hanging="480"/>
      </w:pPr>
      <w:rPr>
        <w:rFonts w:hint="default"/>
        <w:lang w:val="en-US"/>
      </w:rPr>
    </w:lvl>
    <w:lvl w:ilvl="1" w:tplc="2146E25A">
      <w:start w:val="1"/>
      <w:numFmt w:val="taiwaneseCountingThousand"/>
      <w:lvlText w:val="%2、"/>
      <w:lvlJc w:val="left"/>
      <w:pPr>
        <w:ind w:left="3229" w:hanging="480"/>
      </w:pPr>
      <w:rPr>
        <w:rFonts w:hint="default"/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B4"/>
    <w:rsid w:val="00001F6F"/>
    <w:rsid w:val="000036DA"/>
    <w:rsid w:val="0000452F"/>
    <w:rsid w:val="00006E2F"/>
    <w:rsid w:val="00010F07"/>
    <w:rsid w:val="000133D9"/>
    <w:rsid w:val="00014BBE"/>
    <w:rsid w:val="00020C05"/>
    <w:rsid w:val="00020E03"/>
    <w:rsid w:val="00021247"/>
    <w:rsid w:val="000246A2"/>
    <w:rsid w:val="00033670"/>
    <w:rsid w:val="0003433D"/>
    <w:rsid w:val="00034B01"/>
    <w:rsid w:val="00036274"/>
    <w:rsid w:val="000401B1"/>
    <w:rsid w:val="0004445A"/>
    <w:rsid w:val="0004793B"/>
    <w:rsid w:val="00050CE9"/>
    <w:rsid w:val="0005200A"/>
    <w:rsid w:val="000542B7"/>
    <w:rsid w:val="00065C10"/>
    <w:rsid w:val="000676F0"/>
    <w:rsid w:val="00067F2E"/>
    <w:rsid w:val="0007122A"/>
    <w:rsid w:val="00071707"/>
    <w:rsid w:val="000801EF"/>
    <w:rsid w:val="00080784"/>
    <w:rsid w:val="00083AC9"/>
    <w:rsid w:val="00083FA9"/>
    <w:rsid w:val="0008463A"/>
    <w:rsid w:val="000859EA"/>
    <w:rsid w:val="00091F38"/>
    <w:rsid w:val="00093DD7"/>
    <w:rsid w:val="00095F50"/>
    <w:rsid w:val="000A38A4"/>
    <w:rsid w:val="000A3943"/>
    <w:rsid w:val="000A7489"/>
    <w:rsid w:val="000A77BA"/>
    <w:rsid w:val="000B263C"/>
    <w:rsid w:val="000B2704"/>
    <w:rsid w:val="000B5449"/>
    <w:rsid w:val="000B5846"/>
    <w:rsid w:val="000C0079"/>
    <w:rsid w:val="000C13D7"/>
    <w:rsid w:val="000C3ABA"/>
    <w:rsid w:val="000C5431"/>
    <w:rsid w:val="000D0C55"/>
    <w:rsid w:val="000D2581"/>
    <w:rsid w:val="000D2725"/>
    <w:rsid w:val="000D31B2"/>
    <w:rsid w:val="000D3E62"/>
    <w:rsid w:val="000D4202"/>
    <w:rsid w:val="000E2B46"/>
    <w:rsid w:val="000E3364"/>
    <w:rsid w:val="000E3BCE"/>
    <w:rsid w:val="000E517B"/>
    <w:rsid w:val="000E6905"/>
    <w:rsid w:val="001010F9"/>
    <w:rsid w:val="0010208C"/>
    <w:rsid w:val="0010515E"/>
    <w:rsid w:val="00105C4B"/>
    <w:rsid w:val="00115F29"/>
    <w:rsid w:val="0012011D"/>
    <w:rsid w:val="001225BC"/>
    <w:rsid w:val="0012697C"/>
    <w:rsid w:val="00133CC1"/>
    <w:rsid w:val="00135721"/>
    <w:rsid w:val="001367A4"/>
    <w:rsid w:val="001403CF"/>
    <w:rsid w:val="0014650D"/>
    <w:rsid w:val="00146ED8"/>
    <w:rsid w:val="001511CF"/>
    <w:rsid w:val="00152013"/>
    <w:rsid w:val="001662D0"/>
    <w:rsid w:val="00166862"/>
    <w:rsid w:val="00171859"/>
    <w:rsid w:val="00175035"/>
    <w:rsid w:val="001806DF"/>
    <w:rsid w:val="001807C7"/>
    <w:rsid w:val="00181A8C"/>
    <w:rsid w:val="00183AFD"/>
    <w:rsid w:val="001910E9"/>
    <w:rsid w:val="001923D4"/>
    <w:rsid w:val="00193F8A"/>
    <w:rsid w:val="00195BE3"/>
    <w:rsid w:val="00197C08"/>
    <w:rsid w:val="001A0B8F"/>
    <w:rsid w:val="001A1D7C"/>
    <w:rsid w:val="001A37BD"/>
    <w:rsid w:val="001A3885"/>
    <w:rsid w:val="001A5693"/>
    <w:rsid w:val="001A6E7B"/>
    <w:rsid w:val="001C0222"/>
    <w:rsid w:val="001C2934"/>
    <w:rsid w:val="001C31C8"/>
    <w:rsid w:val="001C6CB7"/>
    <w:rsid w:val="001D2B98"/>
    <w:rsid w:val="001D4568"/>
    <w:rsid w:val="001D50DB"/>
    <w:rsid w:val="001D73FA"/>
    <w:rsid w:val="001E4C4C"/>
    <w:rsid w:val="001F0C9B"/>
    <w:rsid w:val="001F45D2"/>
    <w:rsid w:val="001F4AEE"/>
    <w:rsid w:val="001F5D7F"/>
    <w:rsid w:val="002049D2"/>
    <w:rsid w:val="00206373"/>
    <w:rsid w:val="002157AD"/>
    <w:rsid w:val="00221604"/>
    <w:rsid w:val="0022173B"/>
    <w:rsid w:val="00223AAE"/>
    <w:rsid w:val="00223B0F"/>
    <w:rsid w:val="002253BB"/>
    <w:rsid w:val="002279D1"/>
    <w:rsid w:val="00231532"/>
    <w:rsid w:val="002341E5"/>
    <w:rsid w:val="002451E9"/>
    <w:rsid w:val="0024652E"/>
    <w:rsid w:val="002572E8"/>
    <w:rsid w:val="0026040E"/>
    <w:rsid w:val="00261D80"/>
    <w:rsid w:val="00265C33"/>
    <w:rsid w:val="00266CCC"/>
    <w:rsid w:val="002718E5"/>
    <w:rsid w:val="00272B82"/>
    <w:rsid w:val="0027513D"/>
    <w:rsid w:val="00277CFE"/>
    <w:rsid w:val="0028002C"/>
    <w:rsid w:val="00282641"/>
    <w:rsid w:val="0029238C"/>
    <w:rsid w:val="002928B2"/>
    <w:rsid w:val="002938C9"/>
    <w:rsid w:val="002A26F5"/>
    <w:rsid w:val="002A2A8E"/>
    <w:rsid w:val="002A3438"/>
    <w:rsid w:val="002A3847"/>
    <w:rsid w:val="002A6921"/>
    <w:rsid w:val="002B5352"/>
    <w:rsid w:val="002C3CAE"/>
    <w:rsid w:val="002C66E3"/>
    <w:rsid w:val="002D1A00"/>
    <w:rsid w:val="002D1AAE"/>
    <w:rsid w:val="002D390F"/>
    <w:rsid w:val="002E0874"/>
    <w:rsid w:val="002E65B3"/>
    <w:rsid w:val="002E7198"/>
    <w:rsid w:val="002F2C99"/>
    <w:rsid w:val="002F58D7"/>
    <w:rsid w:val="002F5A5C"/>
    <w:rsid w:val="003014F0"/>
    <w:rsid w:val="00306908"/>
    <w:rsid w:val="00307D91"/>
    <w:rsid w:val="00310434"/>
    <w:rsid w:val="00315889"/>
    <w:rsid w:val="00316E9B"/>
    <w:rsid w:val="00316EF6"/>
    <w:rsid w:val="003178DC"/>
    <w:rsid w:val="003247E3"/>
    <w:rsid w:val="003271D8"/>
    <w:rsid w:val="0032750F"/>
    <w:rsid w:val="00336923"/>
    <w:rsid w:val="003517E4"/>
    <w:rsid w:val="0035204E"/>
    <w:rsid w:val="00356223"/>
    <w:rsid w:val="00357B7F"/>
    <w:rsid w:val="00365ED7"/>
    <w:rsid w:val="00366F22"/>
    <w:rsid w:val="00367531"/>
    <w:rsid w:val="00371449"/>
    <w:rsid w:val="00371766"/>
    <w:rsid w:val="0037378C"/>
    <w:rsid w:val="003753D7"/>
    <w:rsid w:val="003940FC"/>
    <w:rsid w:val="003958DF"/>
    <w:rsid w:val="00396EED"/>
    <w:rsid w:val="003A0956"/>
    <w:rsid w:val="003A75B1"/>
    <w:rsid w:val="003B230A"/>
    <w:rsid w:val="003B3C6D"/>
    <w:rsid w:val="003B7FEC"/>
    <w:rsid w:val="003C048C"/>
    <w:rsid w:val="003C0C8C"/>
    <w:rsid w:val="003D1A5F"/>
    <w:rsid w:val="003D6E16"/>
    <w:rsid w:val="003E0F8C"/>
    <w:rsid w:val="003E1D77"/>
    <w:rsid w:val="003E213B"/>
    <w:rsid w:val="003E3C9E"/>
    <w:rsid w:val="003F5D76"/>
    <w:rsid w:val="00405405"/>
    <w:rsid w:val="00405B65"/>
    <w:rsid w:val="0040603D"/>
    <w:rsid w:val="0041271A"/>
    <w:rsid w:val="00413126"/>
    <w:rsid w:val="004138E6"/>
    <w:rsid w:val="00416E93"/>
    <w:rsid w:val="00420417"/>
    <w:rsid w:val="00420858"/>
    <w:rsid w:val="00421B67"/>
    <w:rsid w:val="00421D4D"/>
    <w:rsid w:val="00424F57"/>
    <w:rsid w:val="004317F8"/>
    <w:rsid w:val="00432729"/>
    <w:rsid w:val="00433619"/>
    <w:rsid w:val="004358ED"/>
    <w:rsid w:val="00437F15"/>
    <w:rsid w:val="00451365"/>
    <w:rsid w:val="0045153D"/>
    <w:rsid w:val="00452FE1"/>
    <w:rsid w:val="004542F3"/>
    <w:rsid w:val="004543B6"/>
    <w:rsid w:val="00454AE9"/>
    <w:rsid w:val="00454D19"/>
    <w:rsid w:val="00460397"/>
    <w:rsid w:val="0046611D"/>
    <w:rsid w:val="00466DBD"/>
    <w:rsid w:val="00467CD2"/>
    <w:rsid w:val="00472AC9"/>
    <w:rsid w:val="00474C7B"/>
    <w:rsid w:val="00476A65"/>
    <w:rsid w:val="00477673"/>
    <w:rsid w:val="004838C8"/>
    <w:rsid w:val="00485C46"/>
    <w:rsid w:val="004920DA"/>
    <w:rsid w:val="0049549A"/>
    <w:rsid w:val="004960B2"/>
    <w:rsid w:val="004A51DF"/>
    <w:rsid w:val="004A6E0A"/>
    <w:rsid w:val="004A7946"/>
    <w:rsid w:val="004B5C52"/>
    <w:rsid w:val="004B5D11"/>
    <w:rsid w:val="004B732E"/>
    <w:rsid w:val="004C1B24"/>
    <w:rsid w:val="004C26CE"/>
    <w:rsid w:val="004C40E4"/>
    <w:rsid w:val="004C4B20"/>
    <w:rsid w:val="004C730D"/>
    <w:rsid w:val="004D3F42"/>
    <w:rsid w:val="004D7250"/>
    <w:rsid w:val="004E18B8"/>
    <w:rsid w:val="004E2458"/>
    <w:rsid w:val="004E5E3E"/>
    <w:rsid w:val="004F47B1"/>
    <w:rsid w:val="004F48AD"/>
    <w:rsid w:val="004F4C99"/>
    <w:rsid w:val="004F4CE6"/>
    <w:rsid w:val="00502BFC"/>
    <w:rsid w:val="00502C8F"/>
    <w:rsid w:val="00502D1D"/>
    <w:rsid w:val="005037AA"/>
    <w:rsid w:val="0051733F"/>
    <w:rsid w:val="00522B85"/>
    <w:rsid w:val="00523E77"/>
    <w:rsid w:val="00526547"/>
    <w:rsid w:val="005320D9"/>
    <w:rsid w:val="005326B7"/>
    <w:rsid w:val="00532DA8"/>
    <w:rsid w:val="005360E7"/>
    <w:rsid w:val="00540D2F"/>
    <w:rsid w:val="00543C1F"/>
    <w:rsid w:val="00544A74"/>
    <w:rsid w:val="00547E8A"/>
    <w:rsid w:val="00551872"/>
    <w:rsid w:val="00552B04"/>
    <w:rsid w:val="005559D4"/>
    <w:rsid w:val="00556CC2"/>
    <w:rsid w:val="00563707"/>
    <w:rsid w:val="0056461B"/>
    <w:rsid w:val="00572A15"/>
    <w:rsid w:val="00580F9E"/>
    <w:rsid w:val="0058103F"/>
    <w:rsid w:val="00587DDD"/>
    <w:rsid w:val="00590696"/>
    <w:rsid w:val="00592069"/>
    <w:rsid w:val="00595D23"/>
    <w:rsid w:val="005966F6"/>
    <w:rsid w:val="00597997"/>
    <w:rsid w:val="005A086F"/>
    <w:rsid w:val="005A4B77"/>
    <w:rsid w:val="005A70B1"/>
    <w:rsid w:val="005B0673"/>
    <w:rsid w:val="005B0957"/>
    <w:rsid w:val="005B13FF"/>
    <w:rsid w:val="005B72CE"/>
    <w:rsid w:val="005C12E6"/>
    <w:rsid w:val="005C3A59"/>
    <w:rsid w:val="005D495F"/>
    <w:rsid w:val="005D78D3"/>
    <w:rsid w:val="005E48C0"/>
    <w:rsid w:val="005E574E"/>
    <w:rsid w:val="005E68A2"/>
    <w:rsid w:val="005F0526"/>
    <w:rsid w:val="005F096B"/>
    <w:rsid w:val="005F0CCD"/>
    <w:rsid w:val="005F2CF8"/>
    <w:rsid w:val="005F5BFB"/>
    <w:rsid w:val="005F6DA2"/>
    <w:rsid w:val="005F7769"/>
    <w:rsid w:val="00603468"/>
    <w:rsid w:val="00614C17"/>
    <w:rsid w:val="00617AF7"/>
    <w:rsid w:val="00620645"/>
    <w:rsid w:val="006218FC"/>
    <w:rsid w:val="0062401E"/>
    <w:rsid w:val="006301B5"/>
    <w:rsid w:val="00645712"/>
    <w:rsid w:val="006472F1"/>
    <w:rsid w:val="00653D9C"/>
    <w:rsid w:val="00655320"/>
    <w:rsid w:val="00655676"/>
    <w:rsid w:val="006575E7"/>
    <w:rsid w:val="00660708"/>
    <w:rsid w:val="00672CB2"/>
    <w:rsid w:val="00674E85"/>
    <w:rsid w:val="00682C03"/>
    <w:rsid w:val="00684E5A"/>
    <w:rsid w:val="00687150"/>
    <w:rsid w:val="0069641D"/>
    <w:rsid w:val="006A03D6"/>
    <w:rsid w:val="006A0866"/>
    <w:rsid w:val="006A2A92"/>
    <w:rsid w:val="006A6866"/>
    <w:rsid w:val="006A6A12"/>
    <w:rsid w:val="006C30A1"/>
    <w:rsid w:val="006C7007"/>
    <w:rsid w:val="006D55A8"/>
    <w:rsid w:val="006E2499"/>
    <w:rsid w:val="006F1F00"/>
    <w:rsid w:val="006F4C38"/>
    <w:rsid w:val="006F71B4"/>
    <w:rsid w:val="00700561"/>
    <w:rsid w:val="00701869"/>
    <w:rsid w:val="007030CB"/>
    <w:rsid w:val="00706434"/>
    <w:rsid w:val="00715408"/>
    <w:rsid w:val="00716420"/>
    <w:rsid w:val="00721891"/>
    <w:rsid w:val="00731F20"/>
    <w:rsid w:val="00734634"/>
    <w:rsid w:val="00734ADD"/>
    <w:rsid w:val="00735D62"/>
    <w:rsid w:val="0073677E"/>
    <w:rsid w:val="00756626"/>
    <w:rsid w:val="00763301"/>
    <w:rsid w:val="00765565"/>
    <w:rsid w:val="0077468D"/>
    <w:rsid w:val="00780980"/>
    <w:rsid w:val="0078656A"/>
    <w:rsid w:val="00787484"/>
    <w:rsid w:val="00790BE2"/>
    <w:rsid w:val="007910DE"/>
    <w:rsid w:val="00791A86"/>
    <w:rsid w:val="00792CD9"/>
    <w:rsid w:val="00792D73"/>
    <w:rsid w:val="007940D5"/>
    <w:rsid w:val="007A0D20"/>
    <w:rsid w:val="007A0E1A"/>
    <w:rsid w:val="007A253C"/>
    <w:rsid w:val="007A3257"/>
    <w:rsid w:val="007B18FA"/>
    <w:rsid w:val="007B58BD"/>
    <w:rsid w:val="007C1262"/>
    <w:rsid w:val="007C224C"/>
    <w:rsid w:val="007C34E3"/>
    <w:rsid w:val="007C59FF"/>
    <w:rsid w:val="007C6888"/>
    <w:rsid w:val="007C7697"/>
    <w:rsid w:val="007D0114"/>
    <w:rsid w:val="007D48A1"/>
    <w:rsid w:val="007D4EA5"/>
    <w:rsid w:val="007D604E"/>
    <w:rsid w:val="007E06DC"/>
    <w:rsid w:val="007E4688"/>
    <w:rsid w:val="007E51F7"/>
    <w:rsid w:val="007E5BDE"/>
    <w:rsid w:val="007F0A5A"/>
    <w:rsid w:val="007F3461"/>
    <w:rsid w:val="007F37F2"/>
    <w:rsid w:val="007F737D"/>
    <w:rsid w:val="00802209"/>
    <w:rsid w:val="00802F80"/>
    <w:rsid w:val="00805E02"/>
    <w:rsid w:val="00807F79"/>
    <w:rsid w:val="00814C9D"/>
    <w:rsid w:val="00823730"/>
    <w:rsid w:val="008239FE"/>
    <w:rsid w:val="00825DD4"/>
    <w:rsid w:val="00827A0C"/>
    <w:rsid w:val="00827BEC"/>
    <w:rsid w:val="00833C23"/>
    <w:rsid w:val="008358A0"/>
    <w:rsid w:val="00842A4D"/>
    <w:rsid w:val="008474C8"/>
    <w:rsid w:val="00850049"/>
    <w:rsid w:val="00851478"/>
    <w:rsid w:val="00851CF3"/>
    <w:rsid w:val="00851FCE"/>
    <w:rsid w:val="008547BA"/>
    <w:rsid w:val="008602EB"/>
    <w:rsid w:val="00870804"/>
    <w:rsid w:val="00876A2C"/>
    <w:rsid w:val="008772A6"/>
    <w:rsid w:val="0089000D"/>
    <w:rsid w:val="008943EA"/>
    <w:rsid w:val="008952F7"/>
    <w:rsid w:val="00895E41"/>
    <w:rsid w:val="008A066A"/>
    <w:rsid w:val="008B57DD"/>
    <w:rsid w:val="008B7D4D"/>
    <w:rsid w:val="008C4E04"/>
    <w:rsid w:val="008C7D38"/>
    <w:rsid w:val="008D06E3"/>
    <w:rsid w:val="008D2951"/>
    <w:rsid w:val="008D2D9D"/>
    <w:rsid w:val="008D781B"/>
    <w:rsid w:val="008E40E9"/>
    <w:rsid w:val="008F3B78"/>
    <w:rsid w:val="008F46FF"/>
    <w:rsid w:val="008F4EDF"/>
    <w:rsid w:val="008F62E5"/>
    <w:rsid w:val="00900B46"/>
    <w:rsid w:val="00904AE1"/>
    <w:rsid w:val="00905057"/>
    <w:rsid w:val="009115C9"/>
    <w:rsid w:val="00916208"/>
    <w:rsid w:val="009220EE"/>
    <w:rsid w:val="009247C6"/>
    <w:rsid w:val="009305B9"/>
    <w:rsid w:val="00933FC9"/>
    <w:rsid w:val="0093404B"/>
    <w:rsid w:val="009455A2"/>
    <w:rsid w:val="009472D5"/>
    <w:rsid w:val="009509A7"/>
    <w:rsid w:val="00953248"/>
    <w:rsid w:val="00956CBA"/>
    <w:rsid w:val="00957877"/>
    <w:rsid w:val="0096380C"/>
    <w:rsid w:val="00967444"/>
    <w:rsid w:val="00967EA6"/>
    <w:rsid w:val="00973B47"/>
    <w:rsid w:val="009752C9"/>
    <w:rsid w:val="00981834"/>
    <w:rsid w:val="00992AE3"/>
    <w:rsid w:val="0099710D"/>
    <w:rsid w:val="009B17A2"/>
    <w:rsid w:val="009B3B79"/>
    <w:rsid w:val="009B533B"/>
    <w:rsid w:val="009C0907"/>
    <w:rsid w:val="009C45E3"/>
    <w:rsid w:val="009C61FC"/>
    <w:rsid w:val="009D38D9"/>
    <w:rsid w:val="009D513F"/>
    <w:rsid w:val="009D619B"/>
    <w:rsid w:val="009E2416"/>
    <w:rsid w:val="009E5396"/>
    <w:rsid w:val="009F20F3"/>
    <w:rsid w:val="009F3CB0"/>
    <w:rsid w:val="009F78F1"/>
    <w:rsid w:val="00A006AA"/>
    <w:rsid w:val="00A14079"/>
    <w:rsid w:val="00A1641B"/>
    <w:rsid w:val="00A16C8B"/>
    <w:rsid w:val="00A21960"/>
    <w:rsid w:val="00A23E86"/>
    <w:rsid w:val="00A25A6D"/>
    <w:rsid w:val="00A26A1A"/>
    <w:rsid w:val="00A2702A"/>
    <w:rsid w:val="00A31C1E"/>
    <w:rsid w:val="00A3247A"/>
    <w:rsid w:val="00A33B9F"/>
    <w:rsid w:val="00A359A9"/>
    <w:rsid w:val="00A375F2"/>
    <w:rsid w:val="00A37AF8"/>
    <w:rsid w:val="00A37D15"/>
    <w:rsid w:val="00A43BB7"/>
    <w:rsid w:val="00A4408B"/>
    <w:rsid w:val="00A44107"/>
    <w:rsid w:val="00A44E56"/>
    <w:rsid w:val="00A50B40"/>
    <w:rsid w:val="00A5529A"/>
    <w:rsid w:val="00A5660F"/>
    <w:rsid w:val="00A6065B"/>
    <w:rsid w:val="00A61CD5"/>
    <w:rsid w:val="00A63F6A"/>
    <w:rsid w:val="00A64D8D"/>
    <w:rsid w:val="00A6589E"/>
    <w:rsid w:val="00A67399"/>
    <w:rsid w:val="00A678AC"/>
    <w:rsid w:val="00A7502F"/>
    <w:rsid w:val="00A8384D"/>
    <w:rsid w:val="00A9326A"/>
    <w:rsid w:val="00A95D12"/>
    <w:rsid w:val="00AA267B"/>
    <w:rsid w:val="00AA6CD3"/>
    <w:rsid w:val="00AC053E"/>
    <w:rsid w:val="00AC0EEC"/>
    <w:rsid w:val="00AC344C"/>
    <w:rsid w:val="00AC432D"/>
    <w:rsid w:val="00AC4B67"/>
    <w:rsid w:val="00AC6D56"/>
    <w:rsid w:val="00AC6D80"/>
    <w:rsid w:val="00AD6C0C"/>
    <w:rsid w:val="00AD74AE"/>
    <w:rsid w:val="00AE5457"/>
    <w:rsid w:val="00AE61DE"/>
    <w:rsid w:val="00AF4712"/>
    <w:rsid w:val="00AF5490"/>
    <w:rsid w:val="00B009BA"/>
    <w:rsid w:val="00B01027"/>
    <w:rsid w:val="00B05751"/>
    <w:rsid w:val="00B11BC0"/>
    <w:rsid w:val="00B13A04"/>
    <w:rsid w:val="00B1436C"/>
    <w:rsid w:val="00B14AED"/>
    <w:rsid w:val="00B1742A"/>
    <w:rsid w:val="00B20C5A"/>
    <w:rsid w:val="00B2287A"/>
    <w:rsid w:val="00B25386"/>
    <w:rsid w:val="00B27082"/>
    <w:rsid w:val="00B27BC1"/>
    <w:rsid w:val="00B33680"/>
    <w:rsid w:val="00B35814"/>
    <w:rsid w:val="00B35F43"/>
    <w:rsid w:val="00B36F74"/>
    <w:rsid w:val="00B43E16"/>
    <w:rsid w:val="00B45BDA"/>
    <w:rsid w:val="00B47ABB"/>
    <w:rsid w:val="00B53963"/>
    <w:rsid w:val="00B54A0A"/>
    <w:rsid w:val="00B557B0"/>
    <w:rsid w:val="00B60FE1"/>
    <w:rsid w:val="00B63B61"/>
    <w:rsid w:val="00B64044"/>
    <w:rsid w:val="00B716F6"/>
    <w:rsid w:val="00B7270E"/>
    <w:rsid w:val="00B8452F"/>
    <w:rsid w:val="00B853C3"/>
    <w:rsid w:val="00B8591F"/>
    <w:rsid w:val="00B8651A"/>
    <w:rsid w:val="00B91370"/>
    <w:rsid w:val="00B933D6"/>
    <w:rsid w:val="00BA0766"/>
    <w:rsid w:val="00BA2B7C"/>
    <w:rsid w:val="00BB08AA"/>
    <w:rsid w:val="00BB4B51"/>
    <w:rsid w:val="00BB6F62"/>
    <w:rsid w:val="00BC477C"/>
    <w:rsid w:val="00BD0AEC"/>
    <w:rsid w:val="00BD71FD"/>
    <w:rsid w:val="00BE2D00"/>
    <w:rsid w:val="00BE595D"/>
    <w:rsid w:val="00BF0518"/>
    <w:rsid w:val="00BF0E6B"/>
    <w:rsid w:val="00C01C45"/>
    <w:rsid w:val="00C038FD"/>
    <w:rsid w:val="00C06A12"/>
    <w:rsid w:val="00C1009E"/>
    <w:rsid w:val="00C1399E"/>
    <w:rsid w:val="00C216DA"/>
    <w:rsid w:val="00C22096"/>
    <w:rsid w:val="00C22542"/>
    <w:rsid w:val="00C226AF"/>
    <w:rsid w:val="00C26524"/>
    <w:rsid w:val="00C327EC"/>
    <w:rsid w:val="00C329D4"/>
    <w:rsid w:val="00C42602"/>
    <w:rsid w:val="00C42D0E"/>
    <w:rsid w:val="00C42FB7"/>
    <w:rsid w:val="00C46EF0"/>
    <w:rsid w:val="00C47971"/>
    <w:rsid w:val="00C52267"/>
    <w:rsid w:val="00C5721F"/>
    <w:rsid w:val="00C60FA9"/>
    <w:rsid w:val="00C6293F"/>
    <w:rsid w:val="00C70B24"/>
    <w:rsid w:val="00C72A72"/>
    <w:rsid w:val="00C756A5"/>
    <w:rsid w:val="00C80AA0"/>
    <w:rsid w:val="00C8157C"/>
    <w:rsid w:val="00C81AB3"/>
    <w:rsid w:val="00C81F02"/>
    <w:rsid w:val="00C8611B"/>
    <w:rsid w:val="00C86EF8"/>
    <w:rsid w:val="00C91350"/>
    <w:rsid w:val="00C93171"/>
    <w:rsid w:val="00C95FD2"/>
    <w:rsid w:val="00CA41E2"/>
    <w:rsid w:val="00CA4B17"/>
    <w:rsid w:val="00CB0E00"/>
    <w:rsid w:val="00CB106F"/>
    <w:rsid w:val="00CB16AE"/>
    <w:rsid w:val="00CB53D8"/>
    <w:rsid w:val="00CB6596"/>
    <w:rsid w:val="00CB79E9"/>
    <w:rsid w:val="00CC25F5"/>
    <w:rsid w:val="00CC6AF3"/>
    <w:rsid w:val="00CD01B4"/>
    <w:rsid w:val="00CD1E1C"/>
    <w:rsid w:val="00CD6F71"/>
    <w:rsid w:val="00CD701A"/>
    <w:rsid w:val="00CE20B4"/>
    <w:rsid w:val="00CE21BA"/>
    <w:rsid w:val="00CF189E"/>
    <w:rsid w:val="00CF76D3"/>
    <w:rsid w:val="00D0096C"/>
    <w:rsid w:val="00D05581"/>
    <w:rsid w:val="00D229EE"/>
    <w:rsid w:val="00D25D1B"/>
    <w:rsid w:val="00D32C3C"/>
    <w:rsid w:val="00D3363D"/>
    <w:rsid w:val="00D35819"/>
    <w:rsid w:val="00D36F52"/>
    <w:rsid w:val="00D41282"/>
    <w:rsid w:val="00D4315D"/>
    <w:rsid w:val="00D44238"/>
    <w:rsid w:val="00D46435"/>
    <w:rsid w:val="00D468DC"/>
    <w:rsid w:val="00D501D9"/>
    <w:rsid w:val="00D544E6"/>
    <w:rsid w:val="00D54E4C"/>
    <w:rsid w:val="00D600F8"/>
    <w:rsid w:val="00D6174A"/>
    <w:rsid w:val="00D64781"/>
    <w:rsid w:val="00D66A93"/>
    <w:rsid w:val="00D71ACD"/>
    <w:rsid w:val="00D71CEA"/>
    <w:rsid w:val="00D72A5C"/>
    <w:rsid w:val="00D7631A"/>
    <w:rsid w:val="00D83997"/>
    <w:rsid w:val="00D8677B"/>
    <w:rsid w:val="00D86EA1"/>
    <w:rsid w:val="00D870CB"/>
    <w:rsid w:val="00D9052F"/>
    <w:rsid w:val="00D96172"/>
    <w:rsid w:val="00D97568"/>
    <w:rsid w:val="00DA618A"/>
    <w:rsid w:val="00DB1280"/>
    <w:rsid w:val="00DC066F"/>
    <w:rsid w:val="00DC202C"/>
    <w:rsid w:val="00DC26A2"/>
    <w:rsid w:val="00DC4375"/>
    <w:rsid w:val="00DD02CB"/>
    <w:rsid w:val="00DD1C25"/>
    <w:rsid w:val="00DE54A7"/>
    <w:rsid w:val="00DE68DA"/>
    <w:rsid w:val="00DF3835"/>
    <w:rsid w:val="00E00861"/>
    <w:rsid w:val="00E0504E"/>
    <w:rsid w:val="00E10DC6"/>
    <w:rsid w:val="00E11186"/>
    <w:rsid w:val="00E129C3"/>
    <w:rsid w:val="00E13426"/>
    <w:rsid w:val="00E14DC9"/>
    <w:rsid w:val="00E150B7"/>
    <w:rsid w:val="00E16AAE"/>
    <w:rsid w:val="00E20143"/>
    <w:rsid w:val="00E20264"/>
    <w:rsid w:val="00E230A5"/>
    <w:rsid w:val="00E2667E"/>
    <w:rsid w:val="00E32E6F"/>
    <w:rsid w:val="00E35609"/>
    <w:rsid w:val="00E40124"/>
    <w:rsid w:val="00E52791"/>
    <w:rsid w:val="00E57DB9"/>
    <w:rsid w:val="00E6012B"/>
    <w:rsid w:val="00E60981"/>
    <w:rsid w:val="00E62522"/>
    <w:rsid w:val="00E67639"/>
    <w:rsid w:val="00E85141"/>
    <w:rsid w:val="00E85388"/>
    <w:rsid w:val="00E97064"/>
    <w:rsid w:val="00EA0889"/>
    <w:rsid w:val="00EA37FE"/>
    <w:rsid w:val="00EA6DC9"/>
    <w:rsid w:val="00EB07E8"/>
    <w:rsid w:val="00EB0F31"/>
    <w:rsid w:val="00EB2DD0"/>
    <w:rsid w:val="00EC4FF4"/>
    <w:rsid w:val="00EC59E2"/>
    <w:rsid w:val="00ED7F46"/>
    <w:rsid w:val="00EE1BF5"/>
    <w:rsid w:val="00EE53A9"/>
    <w:rsid w:val="00EE6BEE"/>
    <w:rsid w:val="00EF041C"/>
    <w:rsid w:val="00EF43F1"/>
    <w:rsid w:val="00EF45C5"/>
    <w:rsid w:val="00EF5CD6"/>
    <w:rsid w:val="00EF624C"/>
    <w:rsid w:val="00EF6EA4"/>
    <w:rsid w:val="00EF7AA8"/>
    <w:rsid w:val="00F0373D"/>
    <w:rsid w:val="00F057E0"/>
    <w:rsid w:val="00F115EC"/>
    <w:rsid w:val="00F15908"/>
    <w:rsid w:val="00F27ED9"/>
    <w:rsid w:val="00F30807"/>
    <w:rsid w:val="00F3480A"/>
    <w:rsid w:val="00F35690"/>
    <w:rsid w:val="00F372A8"/>
    <w:rsid w:val="00F47533"/>
    <w:rsid w:val="00F5061B"/>
    <w:rsid w:val="00F50669"/>
    <w:rsid w:val="00F739CF"/>
    <w:rsid w:val="00F74B35"/>
    <w:rsid w:val="00F7522A"/>
    <w:rsid w:val="00F85090"/>
    <w:rsid w:val="00F9232B"/>
    <w:rsid w:val="00F95223"/>
    <w:rsid w:val="00F95F13"/>
    <w:rsid w:val="00F96493"/>
    <w:rsid w:val="00F964F3"/>
    <w:rsid w:val="00FA15E0"/>
    <w:rsid w:val="00FA3D8A"/>
    <w:rsid w:val="00FA5818"/>
    <w:rsid w:val="00FB0E12"/>
    <w:rsid w:val="00FB42C3"/>
    <w:rsid w:val="00FB5D59"/>
    <w:rsid w:val="00FB663F"/>
    <w:rsid w:val="00FB74DE"/>
    <w:rsid w:val="00FC036B"/>
    <w:rsid w:val="00FC0AF0"/>
    <w:rsid w:val="00FD06C4"/>
    <w:rsid w:val="00FD3A37"/>
    <w:rsid w:val="00FD4A67"/>
    <w:rsid w:val="00FD6887"/>
    <w:rsid w:val="00FE13FA"/>
    <w:rsid w:val="00FE2618"/>
    <w:rsid w:val="00FE271E"/>
    <w:rsid w:val="00FE2C44"/>
    <w:rsid w:val="00FE3C1C"/>
    <w:rsid w:val="00FF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2523A"/>
  <w15:chartTrackingRefBased/>
  <w15:docId w15:val="{0FDF7C5D-0132-4B6D-B05D-AE9F7173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6E7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1B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71B4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64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404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4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4044"/>
    <w:rPr>
      <w:sz w:val="20"/>
      <w:szCs w:val="20"/>
    </w:rPr>
  </w:style>
  <w:style w:type="paragraph" w:styleId="a9">
    <w:name w:val="List Paragraph"/>
    <w:aliases w:val="1.1.1.1清單段落,List Paragraph,標題 (4),(二),列點,清單段落2"/>
    <w:basedOn w:val="a"/>
    <w:uiPriority w:val="34"/>
    <w:qFormat/>
    <w:rsid w:val="003958DF"/>
    <w:pPr>
      <w:ind w:leftChars="200" w:left="480"/>
    </w:pPr>
  </w:style>
  <w:style w:type="table" w:styleId="aa">
    <w:name w:val="Table Grid"/>
    <w:basedOn w:val="a1"/>
    <w:uiPriority w:val="39"/>
    <w:rsid w:val="00CF7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CF76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5">
    <w:name w:val="List Table 6 Colorful Accent 5"/>
    <w:basedOn w:val="a1"/>
    <w:uiPriority w:val="51"/>
    <w:rsid w:val="00F739C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Default">
    <w:name w:val="Default"/>
    <w:rsid w:val="0096744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26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2697C"/>
    <w:rPr>
      <w:rFonts w:asciiTheme="majorHAnsi" w:eastAsiaTheme="majorEastAsia" w:hAnsiTheme="majorHAnsi" w:cstheme="majorBidi"/>
      <w:sz w:val="18"/>
      <w:szCs w:val="18"/>
    </w:rPr>
  </w:style>
  <w:style w:type="table" w:styleId="3">
    <w:name w:val="Plain Table 3"/>
    <w:basedOn w:val="a1"/>
    <w:uiPriority w:val="43"/>
    <w:rsid w:val="00437F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10">
    <w:name w:val="標題 1 字元"/>
    <w:basedOn w:val="a0"/>
    <w:link w:val="1"/>
    <w:uiPriority w:val="9"/>
    <w:rsid w:val="001A6E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d">
    <w:name w:val="TOC Heading"/>
    <w:basedOn w:val="1"/>
    <w:next w:val="a"/>
    <w:uiPriority w:val="39"/>
    <w:unhideWhenUsed/>
    <w:qFormat/>
    <w:rsid w:val="001A6E7B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1A6E7B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1A6E7B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rsid w:val="001A6E7B"/>
    <w:pPr>
      <w:widowControl/>
      <w:spacing w:after="100" w:line="259" w:lineRule="auto"/>
      <w:ind w:left="440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3529D-C0ED-48E3-AC6F-A299E29AB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鐵道產品驗證部組長  薛欽鐸</dc:creator>
  <cp:keywords/>
  <dc:description/>
  <cp:lastModifiedBy>蔡惠珍</cp:lastModifiedBy>
  <cp:revision>2</cp:revision>
  <cp:lastPrinted>2026-04-06T08:10:00Z</cp:lastPrinted>
  <dcterms:created xsi:type="dcterms:W3CDTF">2026-07-15T00:36:00Z</dcterms:created>
  <dcterms:modified xsi:type="dcterms:W3CDTF">2026-07-15T00:36:00Z</dcterms:modified>
</cp:coreProperties>
</file>